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F7DC300" w14:textId="77777777" w:rsidR="00B70C05" w:rsidRDefault="00B70C05" w:rsidP="00B70C05">
      <w:r>
        <w:rPr>
          <w:b/>
        </w:rPr>
        <w:t>Teaching Note: China Imports</w:t>
      </w:r>
    </w:p>
    <w:p w14:paraId="0C15332A" w14:textId="77777777" w:rsidR="00B70C05" w:rsidRDefault="00B70C05"/>
    <w:p w14:paraId="52285437" w14:textId="0CB1624F" w:rsidR="00247714" w:rsidRDefault="0089367E">
      <w:r>
        <w:t xml:space="preserve">The goal of this case is to get students to evaluate the </w:t>
      </w:r>
      <w:r w:rsidR="00B76C16">
        <w:t>cost of using different transportation modes for various product categories</w:t>
      </w:r>
      <w:r w:rsidR="00247714">
        <w:t>.</w:t>
      </w:r>
      <w:r>
        <w:t xml:space="preserve"> </w:t>
      </w:r>
      <w:r w:rsidR="00B76C16">
        <w:t>Air freight and ocean shipping are the two transportation modes considered. Air freight is faster and has a lower minimum requirement</w:t>
      </w:r>
      <w:r w:rsidR="008862D0">
        <w:t>,</w:t>
      </w:r>
      <w:r w:rsidR="00B76C16">
        <w:t xml:space="preserve"> but it is more expensive than ocean shipping. Smartphones and decorative hardware are the two product categories considered. Smartphones have high value and low weight while decorative hardware has lower value and greater weight. Also, demand for smartphones is more unpredictable than demand for hardware. </w:t>
      </w:r>
    </w:p>
    <w:p w14:paraId="7033AF26" w14:textId="3B549250" w:rsidR="008862D0" w:rsidRPr="00B76C16" w:rsidDel="008862D0" w:rsidRDefault="00006FAD" w:rsidP="00F42344">
      <w:pPr>
        <w:pStyle w:val="CS2GENQ"/>
        <w:keepLines w:val="0"/>
        <w:widowControl w:val="0"/>
        <w:tabs>
          <w:tab w:val="clear" w:pos="300"/>
          <w:tab w:val="left" w:pos="0"/>
        </w:tabs>
        <w:suppressAutoHyphens/>
        <w:spacing w:line="240" w:lineRule="auto"/>
        <w:ind w:left="0" w:firstLine="0"/>
        <w:jc w:val="left"/>
        <w:rPr>
          <w:rFonts w:asciiTheme="minorHAnsi" w:hAnsiTheme="minorHAnsi"/>
          <w:noProof w:val="0"/>
          <w:vanish/>
          <w:sz w:val="22"/>
          <w:szCs w:val="22"/>
          <w:lang w:val="en-US"/>
        </w:rPr>
      </w:pPr>
      <w:r>
        <w:rPr>
          <w:rFonts w:asciiTheme="minorHAnsi" w:hAnsiTheme="minorHAnsi"/>
          <w:noProof w:val="0"/>
          <w:vanish/>
          <w:sz w:val="22"/>
          <w:szCs w:val="22"/>
          <w:lang w:val="en-US"/>
        </w:rPr>
        <w:t xml:space="preserve">1. </w:t>
      </w:r>
      <w:r w:rsidR="00B76C16" w:rsidRPr="00B76C16">
        <w:rPr>
          <w:rFonts w:asciiTheme="minorHAnsi" w:hAnsiTheme="minorHAnsi"/>
          <w:noProof w:val="0"/>
          <w:sz w:val="22"/>
          <w:szCs w:val="22"/>
          <w:lang w:val="en-US"/>
        </w:rPr>
        <w:t>What is the annual cost of using air freight to import smartphones? What is the annual cost of using</w:t>
      </w:r>
      <w:r>
        <w:rPr>
          <w:rFonts w:asciiTheme="minorHAnsi" w:hAnsiTheme="minorHAnsi"/>
          <w:noProof w:val="0"/>
          <w:sz w:val="22"/>
          <w:szCs w:val="22"/>
          <w:lang w:val="en-US"/>
        </w:rPr>
        <w:t xml:space="preserve"> </w:t>
      </w:r>
      <w:r w:rsidR="00B76C16" w:rsidRPr="00B76C16">
        <w:rPr>
          <w:rFonts w:asciiTheme="minorHAnsi" w:hAnsiTheme="minorHAnsi"/>
          <w:noProof w:val="0"/>
          <w:sz w:val="22"/>
          <w:szCs w:val="22"/>
          <w:lang w:val="en-US"/>
        </w:rPr>
        <w:t xml:space="preserve">ocean shipping to import </w:t>
      </w:r>
      <w:proofErr w:type="spellStart"/>
      <w:r w:rsidR="00B76C16" w:rsidRPr="00B76C16">
        <w:rPr>
          <w:rFonts w:asciiTheme="minorHAnsi" w:hAnsiTheme="minorHAnsi"/>
          <w:noProof w:val="0"/>
          <w:sz w:val="22"/>
          <w:szCs w:val="22"/>
          <w:lang w:val="en-US"/>
        </w:rPr>
        <w:t>smartphones?</w:t>
      </w:r>
    </w:p>
    <w:p w14:paraId="0708A68D" w14:textId="4D5F215B" w:rsidR="00B76C16" w:rsidRPr="00B76C16" w:rsidRDefault="00006FAD" w:rsidP="00F42344">
      <w:pPr>
        <w:pStyle w:val="CS2GENQ"/>
        <w:keepLines w:val="0"/>
        <w:widowControl w:val="0"/>
        <w:tabs>
          <w:tab w:val="clear" w:pos="300"/>
          <w:tab w:val="left" w:pos="0"/>
        </w:tabs>
        <w:suppressAutoHyphens/>
        <w:spacing w:line="240" w:lineRule="auto"/>
        <w:ind w:left="0" w:firstLine="0"/>
        <w:jc w:val="left"/>
        <w:rPr>
          <w:rFonts w:asciiTheme="minorHAnsi" w:hAnsiTheme="minorHAnsi"/>
          <w:noProof w:val="0"/>
          <w:sz w:val="22"/>
          <w:szCs w:val="22"/>
          <w:lang w:val="en-US"/>
        </w:rPr>
      </w:pPr>
      <w:r>
        <w:rPr>
          <w:rFonts w:asciiTheme="minorHAnsi" w:hAnsiTheme="minorHAnsi"/>
          <w:noProof w:val="0"/>
          <w:vanish/>
          <w:sz w:val="22"/>
          <w:szCs w:val="22"/>
          <w:lang w:val="en-US"/>
        </w:rPr>
        <w:t xml:space="preserve">2. </w:t>
      </w:r>
      <w:r w:rsidR="00B76C16" w:rsidRPr="00B76C16">
        <w:rPr>
          <w:rFonts w:asciiTheme="minorHAnsi" w:hAnsiTheme="minorHAnsi"/>
          <w:noProof w:val="0"/>
          <w:sz w:val="22"/>
          <w:szCs w:val="22"/>
          <w:lang w:val="en-US"/>
        </w:rPr>
        <w:t>What</w:t>
      </w:r>
      <w:proofErr w:type="spellEnd"/>
      <w:r w:rsidR="00B76C16" w:rsidRPr="00B76C16">
        <w:rPr>
          <w:rFonts w:asciiTheme="minorHAnsi" w:hAnsiTheme="minorHAnsi"/>
          <w:noProof w:val="0"/>
          <w:sz w:val="22"/>
          <w:szCs w:val="22"/>
          <w:lang w:val="en-US"/>
        </w:rPr>
        <w:t xml:space="preserve"> is the annual cost of using air freight to import decorative hardware? What is the annual cost of</w:t>
      </w:r>
      <w:r>
        <w:rPr>
          <w:rFonts w:asciiTheme="minorHAnsi" w:hAnsiTheme="minorHAnsi"/>
          <w:noProof w:val="0"/>
          <w:sz w:val="22"/>
          <w:szCs w:val="22"/>
          <w:lang w:val="en-US"/>
        </w:rPr>
        <w:t xml:space="preserve"> </w:t>
      </w:r>
      <w:r w:rsidR="00B76C16" w:rsidRPr="00B76C16">
        <w:rPr>
          <w:rFonts w:asciiTheme="minorHAnsi" w:hAnsiTheme="minorHAnsi"/>
          <w:noProof w:val="0"/>
          <w:sz w:val="22"/>
          <w:szCs w:val="22"/>
          <w:lang w:val="en-US"/>
        </w:rPr>
        <w:t>using ocean shipping to import decorative hardware?</w:t>
      </w:r>
    </w:p>
    <w:p w14:paraId="71EA2B03" w14:textId="77777777" w:rsidR="00B76C16" w:rsidRDefault="00B76C16" w:rsidP="00B76C16">
      <w:pPr>
        <w:spacing w:line="240" w:lineRule="auto"/>
      </w:pPr>
    </w:p>
    <w:p w14:paraId="3F811058" w14:textId="558F7267" w:rsidR="00B76C16" w:rsidRDefault="00B76C16" w:rsidP="00B76C16">
      <w:pPr>
        <w:spacing w:line="240" w:lineRule="auto"/>
      </w:pPr>
      <w:r>
        <w:t xml:space="preserve">All results are obtained using the spreadsheet </w:t>
      </w:r>
      <w:r>
        <w:rPr>
          <w:i/>
        </w:rPr>
        <w:t>Chapter14-</w:t>
      </w:r>
      <w:r w:rsidR="00BC6659">
        <w:rPr>
          <w:i/>
        </w:rPr>
        <w:t>China</w:t>
      </w:r>
      <w:r>
        <w:rPr>
          <w:i/>
        </w:rPr>
        <w:t>-imports</w:t>
      </w:r>
      <w:r>
        <w:t>. The input information related to the two transportation modes is as shown below:</w:t>
      </w:r>
    </w:p>
    <w:p w14:paraId="555CDC5B" w14:textId="77777777" w:rsidR="00B76C16" w:rsidRDefault="00B76C16" w:rsidP="00B76C16">
      <w:pPr>
        <w:spacing w:line="240" w:lineRule="auto"/>
      </w:pPr>
      <w:r w:rsidRPr="00B76C16">
        <w:rPr>
          <w:noProof/>
        </w:rPr>
        <w:drawing>
          <wp:inline distT="0" distB="0" distL="0" distR="0" wp14:anchorId="6C30BA9F" wp14:editId="24744539">
            <wp:extent cx="5285715" cy="252381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285715" cy="2523810"/>
                    </a:xfrm>
                    <a:prstGeom prst="rect">
                      <a:avLst/>
                    </a:prstGeom>
                  </pic:spPr>
                </pic:pic>
              </a:graphicData>
            </a:graphic>
          </wp:inline>
        </w:drawing>
      </w:r>
    </w:p>
    <w:p w14:paraId="667E6779" w14:textId="5D711C71" w:rsidR="00EE0468" w:rsidRDefault="00056474" w:rsidP="00056474">
      <w:pPr>
        <w:spacing w:line="240" w:lineRule="auto"/>
      </w:pPr>
      <w:r>
        <w:t>The two transportation modes are compared based on the inventory (cycle + safety + transit) and shipping costs per year. To evaluate the optimal batch size</w:t>
      </w:r>
      <w:r w:rsidR="00842674">
        <w:t>,</w:t>
      </w:r>
      <w:r>
        <w:t xml:space="preserve"> we use the EOQ formula with a fixed cost per batch based on the minimum shipping quantity for air freight (= 50</w:t>
      </w:r>
      <w:r w:rsidR="004F6010">
        <w:t xml:space="preserve"> </w:t>
      </w:r>
      <w:r>
        <w:t>×</w:t>
      </w:r>
      <w:r w:rsidR="004F6010">
        <w:t xml:space="preserve"> </w:t>
      </w:r>
      <w:r>
        <w:t>10 = $500) and shipping cost / container ($1,200) for ocean shipping. For air freight, the actual order quantity per batch must be such that it weighs at least 50 kg. For ocean shipping</w:t>
      </w:r>
      <w:r w:rsidR="00E60B84">
        <w:t>,</w:t>
      </w:r>
      <w:r>
        <w:t xml:space="preserve"> the order quantity cannot exceed 15,000 kg.</w:t>
      </w:r>
      <w:r w:rsidR="00A116ED">
        <w:t xml:space="preserve"> For air freight, order quantity = max </w:t>
      </w:r>
      <w:r w:rsidR="006835DF">
        <w:t>(</w:t>
      </w:r>
      <w:r w:rsidR="00A116ED">
        <w:t>EOQ, 50 kg</w:t>
      </w:r>
      <w:r w:rsidR="006835DF">
        <w:t>)</w:t>
      </w:r>
      <w:r w:rsidR="00A116ED">
        <w:t xml:space="preserve"> while for ocean shipping, order quantity = min </w:t>
      </w:r>
      <w:r w:rsidR="00B33C16">
        <w:t>(</w:t>
      </w:r>
      <w:r w:rsidR="00A116ED">
        <w:t>EOQ, 15000 kg</w:t>
      </w:r>
      <w:r w:rsidR="00B33C16">
        <w:t>)</w:t>
      </w:r>
      <w:r w:rsidR="00EE0468">
        <w:t xml:space="preserve">. </w:t>
      </w:r>
    </w:p>
    <w:p w14:paraId="1A5473B0" w14:textId="575CFE2E" w:rsidR="00EE0468" w:rsidRDefault="00EE0468" w:rsidP="00056474">
      <w:pPr>
        <w:spacing w:line="240" w:lineRule="auto"/>
      </w:pPr>
      <w:r>
        <w:t>In the case of smartphones using air freight</w:t>
      </w:r>
      <w:r w:rsidR="0069638B">
        <w:t>,</w:t>
      </w:r>
      <w:r>
        <w:t xml:space="preserve"> we obtain </w:t>
      </w:r>
      <w:bookmarkStart w:id="0" w:name="_GoBack"/>
      <w:bookmarkEnd w:id="0"/>
    </w:p>
    <w:p w14:paraId="34E6DB8A" w14:textId="25901077" w:rsidR="00EE0468" w:rsidRDefault="00903140" w:rsidP="00056474">
      <w:pPr>
        <w:spacing w:line="240" w:lineRule="auto"/>
      </w:pPr>
      <m:oMath>
        <m:r>
          <w:rPr>
            <w:rFonts w:ascii="Cambria Math" w:hAnsi="Cambria Math"/>
          </w:rPr>
          <m:t xml:space="preserve">EOQ= </m:t>
        </m:r>
        <m:rad>
          <m:radPr>
            <m:degHide m:val="1"/>
            <m:ctrlPr>
              <w:rPr>
                <w:rFonts w:ascii="Cambria Math" w:hAnsi="Cambria Math"/>
                <w:i/>
              </w:rPr>
            </m:ctrlPr>
          </m:radPr>
          <m:deg/>
          <m:e>
            <m:f>
              <m:fPr>
                <m:ctrlPr>
                  <w:rPr>
                    <w:rFonts w:ascii="Cambria Math" w:hAnsi="Cambria Math"/>
                    <w:i/>
                  </w:rPr>
                </m:ctrlPr>
              </m:fPr>
              <m:num>
                <m:r>
                  <w:rPr>
                    <w:rFonts w:ascii="Cambria Math" w:hAnsi="Cambria Math"/>
                  </w:rPr>
                  <m:t>2×52,000×500</m:t>
                </m:r>
              </m:num>
              <m:den>
                <m:r>
                  <w:rPr>
                    <w:rFonts w:ascii="Cambria Math" w:hAnsi="Cambria Math"/>
                  </w:rPr>
                  <m:t>300×0.25</m:t>
                </m:r>
              </m:den>
            </m:f>
          </m:e>
        </m:rad>
        <m:r>
          <w:rPr>
            <w:rFonts w:ascii="Cambria Math" w:hAnsi="Cambria Math"/>
          </w:rPr>
          <m:t>=833</m:t>
        </m:r>
      </m:oMath>
      <w:r w:rsidR="006235A7">
        <w:t xml:space="preserve"> (Cell B22)</w:t>
      </w:r>
    </w:p>
    <w:p w14:paraId="1781043E" w14:textId="77777777" w:rsidR="005C542C" w:rsidRDefault="005C542C" w:rsidP="00056474">
      <w:pPr>
        <w:spacing w:line="240" w:lineRule="auto"/>
      </w:pPr>
      <w:r>
        <w:lastRenderedPageBreak/>
        <w:t>Given that 833 smartphones weigh 833</w:t>
      </w:r>
      <w:r w:rsidR="00082943">
        <w:t xml:space="preserve"> </w:t>
      </w:r>
      <w:r>
        <w:t>×</w:t>
      </w:r>
      <w:r w:rsidR="00082943">
        <w:t xml:space="preserve"> </w:t>
      </w:r>
      <w:r>
        <w:t>0.1 = 83.3 kg, the EOQ exceeds the minimum shipping quantity of 50</w:t>
      </w:r>
      <w:r w:rsidR="002B1D8A">
        <w:t xml:space="preserve"> </w:t>
      </w:r>
      <w:r>
        <w:t xml:space="preserve">kg for air freight. Thus, the order quantity per batch for smartphones using air freight is 833 </w:t>
      </w:r>
      <w:r w:rsidR="00C57FCF">
        <w:t>smart</w:t>
      </w:r>
      <w:r>
        <w:t>phones</w:t>
      </w:r>
      <w:r w:rsidR="006235A7">
        <w:t xml:space="preserve"> (Cell B23)</w:t>
      </w:r>
      <w:r>
        <w:t>. A similar calculation for decorative hardware results in an optimal batch size of 7,211 units</w:t>
      </w:r>
      <w:r w:rsidR="006235A7">
        <w:t xml:space="preserve"> (Cell B35)</w:t>
      </w:r>
      <w:r>
        <w:t>.</w:t>
      </w:r>
    </w:p>
    <w:p w14:paraId="4B8C8076" w14:textId="22D47255" w:rsidR="005C542C" w:rsidRDefault="005C542C" w:rsidP="005C542C">
      <w:pPr>
        <w:spacing w:line="240" w:lineRule="auto"/>
      </w:pPr>
      <w:r>
        <w:t>In the case of smartphones using ocean shipping</w:t>
      </w:r>
      <w:r w:rsidR="00C57FCF">
        <w:t>,</w:t>
      </w:r>
      <w:r>
        <w:t xml:space="preserve"> we obtain</w:t>
      </w:r>
    </w:p>
    <w:p w14:paraId="682902B6" w14:textId="4B32FD32" w:rsidR="005C542C" w:rsidRDefault="00903140" w:rsidP="005C542C">
      <w:pPr>
        <w:spacing w:line="240" w:lineRule="auto"/>
      </w:pPr>
      <m:oMath>
        <m:r>
          <w:rPr>
            <w:rFonts w:ascii="Cambria Math" w:hAnsi="Cambria Math"/>
          </w:rPr>
          <m:t xml:space="preserve"> EOQ= </m:t>
        </m:r>
        <m:rad>
          <m:radPr>
            <m:degHide m:val="1"/>
            <m:ctrlPr>
              <w:rPr>
                <w:rFonts w:ascii="Cambria Math" w:hAnsi="Cambria Math"/>
                <w:i/>
              </w:rPr>
            </m:ctrlPr>
          </m:radPr>
          <m:deg/>
          <m:e>
            <m:f>
              <m:fPr>
                <m:ctrlPr>
                  <w:rPr>
                    <w:rFonts w:ascii="Cambria Math" w:hAnsi="Cambria Math"/>
                    <w:i/>
                  </w:rPr>
                </m:ctrlPr>
              </m:fPr>
              <m:num>
                <m:r>
                  <w:rPr>
                    <w:rFonts w:ascii="Cambria Math" w:hAnsi="Cambria Math"/>
                  </w:rPr>
                  <m:t>2×52,000×1,200</m:t>
                </m:r>
              </m:num>
              <m:den>
                <m:r>
                  <w:rPr>
                    <w:rFonts w:ascii="Cambria Math" w:hAnsi="Cambria Math"/>
                  </w:rPr>
                  <m:t>300×0.25</m:t>
                </m:r>
              </m:den>
            </m:f>
          </m:e>
        </m:rad>
        <m:r>
          <w:rPr>
            <w:rFonts w:ascii="Cambria Math" w:hAnsi="Cambria Math"/>
          </w:rPr>
          <m:t>=1,290</m:t>
        </m:r>
      </m:oMath>
      <w:r w:rsidR="006235A7">
        <w:t xml:space="preserve"> (Cell C22)</w:t>
      </w:r>
    </w:p>
    <w:p w14:paraId="0859E3C7" w14:textId="77777777" w:rsidR="005C542C" w:rsidRDefault="005C542C" w:rsidP="00056474">
      <w:pPr>
        <w:spacing w:line="240" w:lineRule="auto"/>
      </w:pPr>
      <w:r>
        <w:t>Given that 1</w:t>
      </w:r>
      <w:r w:rsidR="009244BE">
        <w:t>,</w:t>
      </w:r>
      <w:r>
        <w:t>290 smartphones weigh 1</w:t>
      </w:r>
      <w:r w:rsidR="009244BE">
        <w:t>,</w:t>
      </w:r>
      <w:r>
        <w:t>290</w:t>
      </w:r>
      <w:r w:rsidR="009244BE">
        <w:t xml:space="preserve"> </w:t>
      </w:r>
      <w:r>
        <w:t>×</w:t>
      </w:r>
      <w:r w:rsidR="009244BE">
        <w:t xml:space="preserve"> </w:t>
      </w:r>
      <w:r>
        <w:t xml:space="preserve">0.1 = 129 kg, the EOQ is </w:t>
      </w:r>
      <w:r w:rsidR="00F87706">
        <w:t xml:space="preserve">feasible because it is </w:t>
      </w:r>
      <w:r>
        <w:t>less than the container size of 1,500</w:t>
      </w:r>
      <w:r w:rsidR="00205C72">
        <w:t xml:space="preserve"> </w:t>
      </w:r>
      <w:r>
        <w:t>kg. Thus, the order quantity per batch for smartphones using ocean shipping is 1,290 phones</w:t>
      </w:r>
      <w:r w:rsidR="006235A7">
        <w:t xml:space="preserve"> (Cell C23)</w:t>
      </w:r>
      <w:r>
        <w:t>. A similar calculation for decorative hardware results in an optimal batch size of 11,171 units</w:t>
      </w:r>
      <w:r w:rsidR="006235A7">
        <w:t xml:space="preserve"> (Cell C35)</w:t>
      </w:r>
      <w:r>
        <w:t>.</w:t>
      </w:r>
    </w:p>
    <w:p w14:paraId="7B83ECBB" w14:textId="7E284A97" w:rsidR="005C542C" w:rsidRDefault="00EE0468" w:rsidP="00056474">
      <w:pPr>
        <w:spacing w:line="240" w:lineRule="auto"/>
      </w:pPr>
      <w:r>
        <w:t xml:space="preserve">The safety inventory calculation must account for lead time uncertainty using each mode of transport. </w:t>
      </w:r>
      <w:r w:rsidR="005C542C">
        <w:t>For smartphones using air freight</w:t>
      </w:r>
      <w:r w:rsidR="00205C72">
        <w:t>,</w:t>
      </w:r>
      <w:r w:rsidR="005C542C">
        <w:t xml:space="preserve"> we </w:t>
      </w:r>
      <w:r w:rsidR="00DD0EA5">
        <w:t xml:space="preserve">use Equation 12.11 to </w:t>
      </w:r>
      <w:r w:rsidR="005C542C">
        <w:t>obtain</w:t>
      </w:r>
    </w:p>
    <w:p w14:paraId="0F1DBEEB" w14:textId="1929E47D" w:rsidR="005C542C" w:rsidRDefault="005C542C" w:rsidP="00056474">
      <w:pPr>
        <w:spacing w:line="240" w:lineRule="auto"/>
      </w:pPr>
      <w:r>
        <w:t xml:space="preserve">Safety inventory = </w:t>
      </w:r>
      <w:r w:rsidRPr="00F42344">
        <w:rPr>
          <w:i/>
        </w:rPr>
        <w:t>NORMSINV</w:t>
      </w:r>
      <w:r>
        <w:t>(</w:t>
      </w:r>
      <w:r w:rsidR="00A50C94">
        <w:t>0</w:t>
      </w:r>
      <w:r>
        <w:t>.98)</w:t>
      </w:r>
      <w:r w:rsidR="00A50C94">
        <w:t xml:space="preserve"> </w:t>
      </w:r>
      <w:r>
        <w:t>×</w:t>
      </w:r>
      <m:oMath>
        <m:rad>
          <m:radPr>
            <m:degHide m:val="1"/>
            <m:ctrlPr>
              <w:rPr>
                <w:rFonts w:ascii="Cambria Math" w:hAnsi="Cambria Math"/>
                <w:i/>
              </w:rPr>
            </m:ctrlPr>
          </m:radPr>
          <m:deg/>
          <m:e>
            <m:r>
              <w:rPr>
                <w:rFonts w:ascii="Cambria Math" w:hAnsi="Cambria Math"/>
              </w:rPr>
              <m:t>(1×</m:t>
            </m:r>
            <m:sSup>
              <m:sSupPr>
                <m:ctrlPr>
                  <w:rPr>
                    <w:rFonts w:ascii="Cambria Math" w:hAnsi="Cambria Math"/>
                    <w:i/>
                  </w:rPr>
                </m:ctrlPr>
              </m:sSupPr>
              <m:e>
                <m:r>
                  <w:rPr>
                    <w:rFonts w:ascii="Cambria Math" w:hAnsi="Cambria Math"/>
                  </w:rPr>
                  <m:t>400</m:t>
                </m:r>
              </m:e>
              <m:sup>
                <m:r>
                  <w:rPr>
                    <w:rFonts w:ascii="Cambria Math" w:hAnsi="Cambria Math"/>
                  </w:rPr>
                  <m:t>2</m:t>
                </m:r>
              </m:sup>
            </m:sSup>
            <m:r>
              <w:rPr>
                <w:rFonts w:ascii="Cambria Math" w:hAnsi="Cambria Math"/>
              </w:rPr>
              <m:t xml:space="preserve">+ </m:t>
            </m:r>
            <m:sSup>
              <m:sSupPr>
                <m:ctrlPr>
                  <w:rPr>
                    <w:rFonts w:ascii="Cambria Math" w:hAnsi="Cambria Math"/>
                    <w:i/>
                  </w:rPr>
                </m:ctrlPr>
              </m:sSupPr>
              <m:e>
                <m:r>
                  <w:rPr>
                    <w:rFonts w:ascii="Cambria Math" w:hAnsi="Cambria Math"/>
                  </w:rPr>
                  <m:t>1,000</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0.2</m:t>
                </m:r>
              </m:e>
              <m:sup>
                <m:r>
                  <w:rPr>
                    <w:rFonts w:ascii="Cambria Math" w:hAnsi="Cambria Math"/>
                  </w:rPr>
                  <m:t>2</m:t>
                </m:r>
              </m:sup>
            </m:sSup>
            <m:r>
              <w:rPr>
                <w:rFonts w:ascii="Cambria Math" w:hAnsi="Cambria Math"/>
              </w:rPr>
              <m:t>)</m:t>
            </m:r>
          </m:e>
        </m:rad>
        <m:r>
          <w:rPr>
            <w:rFonts w:ascii="Cambria Math" w:hAnsi="Cambria Math"/>
          </w:rPr>
          <m:t xml:space="preserve"> </m:t>
        </m:r>
      </m:oMath>
      <w:r w:rsidR="00DD0EA5">
        <w:t>= 918</w:t>
      </w:r>
      <w:r w:rsidR="006235A7">
        <w:t xml:space="preserve"> (Cell B25)</w:t>
      </w:r>
    </w:p>
    <w:p w14:paraId="0331EFF4" w14:textId="77777777" w:rsidR="00DD0EA5" w:rsidRDefault="00DD0EA5" w:rsidP="00056474">
      <w:pPr>
        <w:spacing w:line="240" w:lineRule="auto"/>
      </w:pPr>
      <w:r>
        <w:t>Safety inventory is calculated similarly for other instances</w:t>
      </w:r>
      <w:r w:rsidR="006235A7">
        <w:t xml:space="preserve"> (Cells C25, B37, C37)</w:t>
      </w:r>
      <w:r>
        <w:t>.</w:t>
      </w:r>
    </w:p>
    <w:p w14:paraId="2DCF080F" w14:textId="77777777" w:rsidR="00056474" w:rsidRPr="00B76C16" w:rsidRDefault="00EE0468" w:rsidP="00056474">
      <w:pPr>
        <w:spacing w:line="240" w:lineRule="auto"/>
      </w:pPr>
      <w:r>
        <w:t>Transit inventory is calculated using the mean lead time (transit inventory = mean lead time × mean weekly demand). Shipping cost by air freight is calculated based on the shipping cost / kg (shipping cost = $10×number of kg. shipped per year). Shipping cost by ocean is calculated based on the number of containers shipped per year (number of containers shipped per year = annual demand / order quantity per batch).</w:t>
      </w:r>
    </w:p>
    <w:p w14:paraId="7A74E590" w14:textId="77777777" w:rsidR="00056474" w:rsidRDefault="00056474" w:rsidP="00C165A0">
      <w:pPr>
        <w:tabs>
          <w:tab w:val="right" w:pos="9360"/>
        </w:tabs>
        <w:spacing w:line="240" w:lineRule="auto"/>
      </w:pPr>
      <w:r>
        <w:t>The total annual cost for each product and mode combination is as shown below:</w:t>
      </w:r>
      <w:r w:rsidR="00C165A0">
        <w:tab/>
      </w:r>
    </w:p>
    <w:p w14:paraId="7197CC68" w14:textId="77777777" w:rsidR="00056474" w:rsidRDefault="005C542C" w:rsidP="00B76C16">
      <w:pPr>
        <w:spacing w:line="240" w:lineRule="auto"/>
      </w:pPr>
      <w:r w:rsidRPr="005C542C">
        <w:rPr>
          <w:noProof/>
        </w:rPr>
        <w:lastRenderedPageBreak/>
        <w:drawing>
          <wp:inline distT="0" distB="0" distL="0" distR="0" wp14:anchorId="55F91C99" wp14:editId="6BE72E1B">
            <wp:extent cx="4123944" cy="40233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4123944" cy="4023360"/>
                    </a:xfrm>
                    <a:prstGeom prst="rect">
                      <a:avLst/>
                    </a:prstGeom>
                  </pic:spPr>
                </pic:pic>
              </a:graphicData>
            </a:graphic>
          </wp:inline>
        </w:drawing>
      </w:r>
    </w:p>
    <w:p w14:paraId="259E0367" w14:textId="772F40DC" w:rsidR="008713C1" w:rsidRDefault="008713C1" w:rsidP="00B76C16">
      <w:pPr>
        <w:spacing w:line="240" w:lineRule="auto"/>
      </w:pPr>
      <w:r>
        <w:t>3. What other factors should be considered in the choice of transportation mode? What mode would you recommend for each product? Suggest a general framework that Jackie can use across all product categories</w:t>
      </w:r>
      <w:r w:rsidR="00006FAD">
        <w:t>.</w:t>
      </w:r>
    </w:p>
    <w:p w14:paraId="39F55398" w14:textId="77777777" w:rsidR="008713C1" w:rsidRDefault="008713C1" w:rsidP="00B76C16">
      <w:pPr>
        <w:spacing w:line="240" w:lineRule="auto"/>
      </w:pPr>
      <w:r>
        <w:t>Jackie may also want to consider the impact of damage across transportation modes and the time and effort required to clear customs. Jackie should also ensure that the lead times include the time taken from the airport or the port to the final destination.</w:t>
      </w:r>
    </w:p>
    <w:p w14:paraId="1394CB82" w14:textId="77777777" w:rsidR="00EC44DA" w:rsidRDefault="00EE0468" w:rsidP="00B76C16">
      <w:pPr>
        <w:spacing w:line="240" w:lineRule="auto"/>
      </w:pPr>
      <w:r>
        <w:t xml:space="preserve">Air freight is the optimal shipping mode for smartphones. Even though shipping cost is cheaper by ocean transport, total cost increases because of the high inventory requirement if ocean shipping is used. In contrast, ocean freight is appropriate for decorative hardware because the lower cost of ocean transport more than compensates for any increase in inventory. </w:t>
      </w:r>
    </w:p>
    <w:p w14:paraId="4E4FF32C" w14:textId="514F57C6" w:rsidR="00EE0468" w:rsidRDefault="00EE0468" w:rsidP="00B76C16">
      <w:pPr>
        <w:spacing w:line="240" w:lineRule="auto"/>
      </w:pPr>
      <w:r>
        <w:t xml:space="preserve">In general, ocean freight is best used for heavier, </w:t>
      </w:r>
      <w:r w:rsidR="00F801A2">
        <w:t>low-</w:t>
      </w:r>
      <w:r>
        <w:t xml:space="preserve">value, </w:t>
      </w:r>
      <w:r w:rsidR="00F801A2">
        <w:t>high-</w:t>
      </w:r>
      <w:r>
        <w:t>demand, predictable product (</w:t>
      </w:r>
      <w:r w:rsidR="00F801A2">
        <w:t xml:space="preserve">such as </w:t>
      </w:r>
      <w:r>
        <w:t xml:space="preserve">decorative hardware) while air freight is best used for lighter, </w:t>
      </w:r>
      <w:r w:rsidR="00F801A2">
        <w:t>high-</w:t>
      </w:r>
      <w:r>
        <w:t>value, unpredictable demand product (</w:t>
      </w:r>
      <w:r w:rsidR="00AF5564">
        <w:t xml:space="preserve">such as </w:t>
      </w:r>
      <w:r>
        <w:t xml:space="preserve">smartphones). </w:t>
      </w:r>
    </w:p>
    <w:sectPr w:rsidR="00EE0468" w:rsidSect="00356D7D">
      <w:footerReference w:type="default" r:id="rId1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A62C346" w14:textId="77777777" w:rsidR="003C2352" w:rsidRDefault="003C2352" w:rsidP="00C165A0">
      <w:pPr>
        <w:spacing w:after="0" w:line="240" w:lineRule="auto"/>
      </w:pPr>
      <w:r>
        <w:separator/>
      </w:r>
    </w:p>
  </w:endnote>
  <w:endnote w:type="continuationSeparator" w:id="0">
    <w:p w14:paraId="16741075" w14:textId="77777777" w:rsidR="003C2352" w:rsidRDefault="003C2352" w:rsidP="00C16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B008E2" w14:textId="4B1ACB85" w:rsidR="007B305F" w:rsidRPr="007B305F" w:rsidRDefault="007B305F" w:rsidP="007B305F">
    <w:pPr>
      <w:pStyle w:val="Footer"/>
      <w:jc w:val="center"/>
      <w:rPr>
        <w:rFonts w:cs="Times New Roman"/>
      </w:rPr>
    </w:pPr>
    <w:r w:rsidRPr="007B305F">
      <w:rPr>
        <w:rFonts w:cs="Times New Roman"/>
      </w:rPr>
      <w:fldChar w:fldCharType="begin"/>
    </w:r>
    <w:r w:rsidRPr="007B305F">
      <w:rPr>
        <w:rFonts w:cs="Times New Roman"/>
      </w:rPr>
      <w:instrText xml:space="preserve"> PAGE   \* MERGEFORMAT </w:instrText>
    </w:r>
    <w:r w:rsidRPr="007B305F">
      <w:rPr>
        <w:rFonts w:cs="Times New Roman"/>
      </w:rPr>
      <w:fldChar w:fldCharType="separate"/>
    </w:r>
    <w:r w:rsidR="00B70C05">
      <w:rPr>
        <w:rFonts w:cs="Times New Roman"/>
        <w:noProof/>
      </w:rPr>
      <w:t>2</w:t>
    </w:r>
    <w:r w:rsidRPr="007B305F">
      <w:rPr>
        <w:rFonts w:cs="Times New Roman"/>
        <w:noProof/>
      </w:rPr>
      <w:fldChar w:fldCharType="end"/>
    </w:r>
  </w:p>
  <w:p w14:paraId="2E8D88B1" w14:textId="3E15AB60" w:rsidR="00C165A0" w:rsidRDefault="007B305F" w:rsidP="007B305F">
    <w:pPr>
      <w:pStyle w:val="Footer"/>
    </w:pPr>
    <w:r w:rsidRPr="007B305F">
      <w:rPr>
        <w:rFonts w:ascii="Times New Roman" w:hAnsi="Times New Roman" w:cs="Times New Roman"/>
        <w:sz w:val="24"/>
      </w:rPr>
      <w:t>Copyright © 2019 Pearson Education, Inc.</w:t>
    </w:r>
    <w:r w:rsidRPr="007B305F">
      <w:rPr>
        <w:rFonts w:ascii="Times New Roman" w:hAnsi="Times New Roman" w:cs="Times New Roman"/>
        <w:sz w:val="24"/>
      </w:rPr>
      <w:tab/>
    </w:r>
    <w:r w:rsidRPr="007B305F">
      <w:rPr>
        <w:rFonts w:ascii="Times New Roman" w:hAnsi="Times New Roman" w:cs="Times New Roman"/>
        <w:sz w:val="24"/>
      </w:rPr>
      <w:tab/>
    </w:r>
    <w:r w:rsidRPr="007B305F">
      <w:rPr>
        <w:rFonts w:ascii="Times New Roman" w:hAnsi="Times New Roman" w:cs="Times New Roman"/>
        <w:noProof/>
        <w:sz w:val="24"/>
      </w:rPr>
      <w:drawing>
        <wp:inline distT="0" distB="0" distL="0" distR="0" wp14:anchorId="53676203" wp14:editId="194240EB">
          <wp:extent cx="649224" cy="461497"/>
          <wp:effectExtent l="0" t="0" r="0" b="0"/>
          <wp:docPr id="4" name="Picture 4" descr="AL1111843_High 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1111843_High Re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9224" cy="461497"/>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87822BF" w14:textId="77777777" w:rsidR="003C2352" w:rsidRDefault="003C2352" w:rsidP="00C165A0">
      <w:pPr>
        <w:spacing w:after="0" w:line="240" w:lineRule="auto"/>
      </w:pPr>
      <w:r>
        <w:separator/>
      </w:r>
    </w:p>
  </w:footnote>
  <w:footnote w:type="continuationSeparator" w:id="0">
    <w:p w14:paraId="18B9B087" w14:textId="77777777" w:rsidR="003C2352" w:rsidRDefault="003C2352" w:rsidP="00C165A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DC0348"/>
    <w:multiLevelType w:val="hybridMultilevel"/>
    <w:tmpl w:val="40D220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5EF7655E"/>
    <w:multiLevelType w:val="hybridMultilevel"/>
    <w:tmpl w:val="051082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trackRevisions/>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7714"/>
    <w:rsid w:val="00006FAD"/>
    <w:rsid w:val="00056474"/>
    <w:rsid w:val="00082943"/>
    <w:rsid w:val="0009470C"/>
    <w:rsid w:val="000A6942"/>
    <w:rsid w:val="000F4B52"/>
    <w:rsid w:val="000F5865"/>
    <w:rsid w:val="00157680"/>
    <w:rsid w:val="00170820"/>
    <w:rsid w:val="001F4618"/>
    <w:rsid w:val="00205C72"/>
    <w:rsid w:val="00247714"/>
    <w:rsid w:val="002B1D8A"/>
    <w:rsid w:val="00334E31"/>
    <w:rsid w:val="00335F82"/>
    <w:rsid w:val="00356D7D"/>
    <w:rsid w:val="00373C43"/>
    <w:rsid w:val="003A2A4B"/>
    <w:rsid w:val="003C2352"/>
    <w:rsid w:val="003D71BC"/>
    <w:rsid w:val="003F3ABB"/>
    <w:rsid w:val="00411866"/>
    <w:rsid w:val="0042206E"/>
    <w:rsid w:val="00493D79"/>
    <w:rsid w:val="004E4678"/>
    <w:rsid w:val="004F6010"/>
    <w:rsid w:val="00542804"/>
    <w:rsid w:val="005C542C"/>
    <w:rsid w:val="005F496D"/>
    <w:rsid w:val="006235A7"/>
    <w:rsid w:val="006835DF"/>
    <w:rsid w:val="00695A24"/>
    <w:rsid w:val="0069638B"/>
    <w:rsid w:val="00783975"/>
    <w:rsid w:val="007B305F"/>
    <w:rsid w:val="007C1489"/>
    <w:rsid w:val="00801ED5"/>
    <w:rsid w:val="00812D2D"/>
    <w:rsid w:val="00837EEB"/>
    <w:rsid w:val="00842674"/>
    <w:rsid w:val="00850F28"/>
    <w:rsid w:val="008713C1"/>
    <w:rsid w:val="008862D0"/>
    <w:rsid w:val="0089367E"/>
    <w:rsid w:val="008B44A5"/>
    <w:rsid w:val="00903140"/>
    <w:rsid w:val="009152CF"/>
    <w:rsid w:val="00920B75"/>
    <w:rsid w:val="009244BE"/>
    <w:rsid w:val="00944BDD"/>
    <w:rsid w:val="00971184"/>
    <w:rsid w:val="009A5517"/>
    <w:rsid w:val="00A002D1"/>
    <w:rsid w:val="00A07658"/>
    <w:rsid w:val="00A116ED"/>
    <w:rsid w:val="00A36FA7"/>
    <w:rsid w:val="00A50C94"/>
    <w:rsid w:val="00A84C43"/>
    <w:rsid w:val="00AF5564"/>
    <w:rsid w:val="00B217BD"/>
    <w:rsid w:val="00B33C16"/>
    <w:rsid w:val="00B70C05"/>
    <w:rsid w:val="00B76C16"/>
    <w:rsid w:val="00BC6659"/>
    <w:rsid w:val="00C165A0"/>
    <w:rsid w:val="00C46EF2"/>
    <w:rsid w:val="00C57FCF"/>
    <w:rsid w:val="00CB2768"/>
    <w:rsid w:val="00DD0EA5"/>
    <w:rsid w:val="00E60B84"/>
    <w:rsid w:val="00EC44DA"/>
    <w:rsid w:val="00EE0468"/>
    <w:rsid w:val="00EE3015"/>
    <w:rsid w:val="00F260F4"/>
    <w:rsid w:val="00F42344"/>
    <w:rsid w:val="00F801A2"/>
    <w:rsid w:val="00F87706"/>
    <w:rsid w:val="00F92BA6"/>
    <w:rsid w:val="00FC317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692E124"/>
  <w15:docId w15:val="{88D8198C-7CDA-4928-9CB9-838514B4E6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F260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89367E"/>
    <w:rPr>
      <w:color w:val="808080"/>
    </w:rPr>
  </w:style>
  <w:style w:type="paragraph" w:styleId="BalloonText">
    <w:name w:val="Balloon Text"/>
    <w:basedOn w:val="Normal"/>
    <w:link w:val="BalloonTextChar"/>
    <w:uiPriority w:val="99"/>
    <w:semiHidden/>
    <w:unhideWhenUsed/>
    <w:rsid w:val="0089367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9367E"/>
    <w:rPr>
      <w:rFonts w:ascii="Tahoma" w:hAnsi="Tahoma" w:cs="Tahoma"/>
      <w:sz w:val="16"/>
      <w:szCs w:val="16"/>
    </w:rPr>
  </w:style>
  <w:style w:type="character" w:customStyle="1" w:styleId="CRGENQNUM">
    <w:name w:val="CR_GENQ_NUM"/>
    <w:rsid w:val="00B76C16"/>
    <w:rPr>
      <w:rFonts w:ascii="Times" w:hAnsi="Times"/>
      <w:b/>
      <w:bCs/>
      <w:sz w:val="18"/>
      <w:szCs w:val="18"/>
    </w:rPr>
  </w:style>
  <w:style w:type="paragraph" w:customStyle="1" w:styleId="CS2GENQ">
    <w:name w:val="CS2_GENQ"/>
    <w:rsid w:val="00B76C16"/>
    <w:pPr>
      <w:keepLines/>
      <w:tabs>
        <w:tab w:val="decimal" w:pos="180"/>
        <w:tab w:val="left" w:pos="300"/>
      </w:tabs>
      <w:overflowPunct w:val="0"/>
      <w:autoSpaceDE w:val="0"/>
      <w:autoSpaceDN w:val="0"/>
      <w:adjustRightInd w:val="0"/>
      <w:spacing w:after="0" w:line="220" w:lineRule="exact"/>
      <w:ind w:left="300" w:hanging="300"/>
      <w:jc w:val="both"/>
      <w:textAlignment w:val="baseline"/>
    </w:pPr>
    <w:rPr>
      <w:rFonts w:ascii="Times" w:eastAsia="Times New Roman" w:hAnsi="Times" w:cs="Times New Roman"/>
      <w:noProof/>
      <w:sz w:val="18"/>
      <w:szCs w:val="18"/>
      <w:lang w:val="en-IN" w:eastAsia="en-IN" w:bidi="he-IL"/>
    </w:rPr>
  </w:style>
  <w:style w:type="paragraph" w:styleId="Header">
    <w:name w:val="header"/>
    <w:basedOn w:val="Normal"/>
    <w:link w:val="HeaderChar"/>
    <w:uiPriority w:val="99"/>
    <w:unhideWhenUsed/>
    <w:rsid w:val="00C165A0"/>
    <w:pPr>
      <w:tabs>
        <w:tab w:val="center" w:pos="4680"/>
        <w:tab w:val="right" w:pos="9360"/>
      </w:tabs>
      <w:spacing w:after="0" w:line="240" w:lineRule="auto"/>
    </w:pPr>
  </w:style>
  <w:style w:type="character" w:customStyle="1" w:styleId="HeaderChar">
    <w:name w:val="Header Char"/>
    <w:basedOn w:val="DefaultParagraphFont"/>
    <w:link w:val="Header"/>
    <w:uiPriority w:val="99"/>
    <w:rsid w:val="00C165A0"/>
  </w:style>
  <w:style w:type="paragraph" w:styleId="Footer">
    <w:name w:val="footer"/>
    <w:basedOn w:val="Normal"/>
    <w:link w:val="FooterChar"/>
    <w:unhideWhenUsed/>
    <w:rsid w:val="00C165A0"/>
    <w:pPr>
      <w:tabs>
        <w:tab w:val="center" w:pos="4680"/>
        <w:tab w:val="right" w:pos="9360"/>
      </w:tabs>
      <w:spacing w:after="0" w:line="240" w:lineRule="auto"/>
    </w:pPr>
  </w:style>
  <w:style w:type="character" w:customStyle="1" w:styleId="FooterChar">
    <w:name w:val="Footer Char"/>
    <w:basedOn w:val="DefaultParagraphFont"/>
    <w:link w:val="Footer"/>
    <w:uiPriority w:val="99"/>
    <w:rsid w:val="00C165A0"/>
  </w:style>
  <w:style w:type="paragraph" w:styleId="ListParagraph">
    <w:name w:val="List Paragraph"/>
    <w:basedOn w:val="Normal"/>
    <w:uiPriority w:val="34"/>
    <w:qFormat/>
    <w:rsid w:val="008713C1"/>
    <w:pPr>
      <w:ind w:left="720"/>
      <w:contextualSpacing/>
    </w:pPr>
  </w:style>
  <w:style w:type="character" w:styleId="CommentReference">
    <w:name w:val="annotation reference"/>
    <w:basedOn w:val="DefaultParagraphFont"/>
    <w:uiPriority w:val="99"/>
    <w:semiHidden/>
    <w:unhideWhenUsed/>
    <w:rsid w:val="00A07658"/>
    <w:rPr>
      <w:sz w:val="16"/>
      <w:szCs w:val="16"/>
    </w:rPr>
  </w:style>
  <w:style w:type="paragraph" w:styleId="CommentText">
    <w:name w:val="annotation text"/>
    <w:basedOn w:val="Normal"/>
    <w:link w:val="CommentTextChar"/>
    <w:uiPriority w:val="99"/>
    <w:semiHidden/>
    <w:unhideWhenUsed/>
    <w:rsid w:val="00A07658"/>
    <w:pPr>
      <w:spacing w:line="240" w:lineRule="auto"/>
    </w:pPr>
    <w:rPr>
      <w:sz w:val="20"/>
      <w:szCs w:val="20"/>
    </w:rPr>
  </w:style>
  <w:style w:type="character" w:customStyle="1" w:styleId="CommentTextChar">
    <w:name w:val="Comment Text Char"/>
    <w:basedOn w:val="DefaultParagraphFont"/>
    <w:link w:val="CommentText"/>
    <w:uiPriority w:val="99"/>
    <w:semiHidden/>
    <w:rsid w:val="00A07658"/>
    <w:rPr>
      <w:sz w:val="20"/>
      <w:szCs w:val="20"/>
    </w:rPr>
  </w:style>
  <w:style w:type="paragraph" w:styleId="CommentSubject">
    <w:name w:val="annotation subject"/>
    <w:basedOn w:val="CommentText"/>
    <w:next w:val="CommentText"/>
    <w:link w:val="CommentSubjectChar"/>
    <w:uiPriority w:val="99"/>
    <w:semiHidden/>
    <w:unhideWhenUsed/>
    <w:rsid w:val="00A07658"/>
    <w:rPr>
      <w:b/>
      <w:bCs/>
    </w:rPr>
  </w:style>
  <w:style w:type="character" w:customStyle="1" w:styleId="CommentSubjectChar">
    <w:name w:val="Comment Subject Char"/>
    <w:basedOn w:val="CommentTextChar"/>
    <w:link w:val="CommentSubject"/>
    <w:uiPriority w:val="99"/>
    <w:semiHidden/>
    <w:rsid w:val="00A07658"/>
    <w:rPr>
      <w:b/>
      <w:bCs/>
      <w:sz w:val="20"/>
      <w:szCs w:val="20"/>
    </w:rPr>
  </w:style>
  <w:style w:type="paragraph" w:styleId="Revision">
    <w:name w:val="Revision"/>
    <w:hidden/>
    <w:uiPriority w:val="99"/>
    <w:semiHidden/>
    <w:rsid w:val="007B305F"/>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SeventhEditionOfficeOnline.xsl" StyleName="MLA Seventh Edition"/>
</file>

<file path=customXml/itemProps1.xml><?xml version="1.0" encoding="utf-8"?>
<ds:datastoreItem xmlns:ds="http://schemas.openxmlformats.org/officeDocument/2006/customXml" ds:itemID="{2E13E87E-2CB2-464A-8B0C-812C9A5F47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Pages>
  <Words>668</Words>
  <Characters>3811</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Teaching Note - China Imports</vt:lpstr>
    </vt:vector>
  </TitlesOfParts>
  <Company>Kellogg School of Management</Company>
  <LinksUpToDate>false</LinksUpToDate>
  <CharactersWithSpaces>4471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Teaching Note - China Imports</dc:title>
  <dc:subject>Supply Chain Management - 6th Edition</dc:subject>
  <dc:creator>Sunil Chopra/Jay Mabe</dc:creator>
  <cp:lastModifiedBy>Mirano, Ronel</cp:lastModifiedBy>
  <cp:revision>3</cp:revision>
  <dcterms:created xsi:type="dcterms:W3CDTF">2017-10-19T09:56:00Z</dcterms:created>
  <dcterms:modified xsi:type="dcterms:W3CDTF">2017-11-06T07:49:00Z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